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0210DC31" w:rsidR="00681F01" w:rsidRPr="007C0A3A" w:rsidRDefault="009A6F39" w:rsidP="007C0A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pict w14:anchorId="222EFD1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  <w:bookmarkStart w:id="0" w:name="_heading=h.1fob9te" w:colFirst="0" w:colLast="0"/>
      <w:bookmarkEnd w:id="0"/>
    </w:p>
    <w:p w14:paraId="00000003" w14:textId="77777777" w:rsidR="00681F01" w:rsidRPr="007C0A3A" w:rsidRDefault="009A6F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1" w:name="_heading=h.j7ufqkf8q82q" w:colFirst="0" w:colLast="0"/>
      <w:bookmarkEnd w:id="1"/>
      <w:r w:rsidRPr="007C0A3A">
        <w:rPr>
          <w:rFonts w:ascii="Arial" w:hAnsi="Arial" w:cs="Arial"/>
          <w:b/>
          <w:sz w:val="32"/>
          <w:szCs w:val="32"/>
        </w:rPr>
        <w:t>CWA Fall Virtual Education Day Tues. Nov. 16</w:t>
      </w:r>
    </w:p>
    <w:p w14:paraId="00000004" w14:textId="77777777" w:rsidR="00681F01" w:rsidRPr="007C0A3A" w:rsidRDefault="009A6F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C0A3A">
        <w:rPr>
          <w:rFonts w:ascii="Arial" w:hAnsi="Arial" w:cs="Arial"/>
          <w:b/>
          <w:sz w:val="32"/>
          <w:szCs w:val="32"/>
        </w:rPr>
        <w:t>CDPH WIC Local Directors Fall 2021 Meeting, Wed.  Nov. 17/Thurs. Nov. 18</w:t>
      </w:r>
    </w:p>
    <w:p w14:paraId="00000005" w14:textId="77777777" w:rsidR="00681F01" w:rsidRPr="007C0A3A" w:rsidRDefault="00681F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32"/>
          <w:szCs w:val="32"/>
        </w:rPr>
      </w:pPr>
    </w:p>
    <w:p w14:paraId="00000006" w14:textId="7319255A" w:rsidR="00681F01" w:rsidRPr="007C0A3A" w:rsidRDefault="009A6F39">
      <w:pPr>
        <w:rPr>
          <w:rFonts w:ascii="Arial" w:hAnsi="Arial" w:cs="Arial"/>
          <w:i/>
          <w:sz w:val="24"/>
          <w:szCs w:val="24"/>
        </w:rPr>
      </w:pPr>
      <w:r w:rsidRPr="007C0A3A">
        <w:rPr>
          <w:rFonts w:ascii="Arial" w:hAnsi="Arial" w:cs="Arial"/>
          <w:i/>
          <w:sz w:val="24"/>
          <w:szCs w:val="24"/>
        </w:rPr>
        <w:t>The pandemic has provided</w:t>
      </w:r>
      <w:r w:rsidRPr="007C0A3A">
        <w:rPr>
          <w:rFonts w:ascii="Arial" w:hAnsi="Arial" w:cs="Arial"/>
          <w:i/>
          <w:sz w:val="24"/>
          <w:szCs w:val="24"/>
        </w:rPr>
        <w:t xml:space="preserve"> unexpected, but welcomed, opportunities to improve accessibility for WIC beneficiaries. Local agency and state staff have accomplished herculean feats to </w:t>
      </w:r>
      <w:r w:rsidRPr="007C0A3A">
        <w:rPr>
          <w:rFonts w:ascii="Arial" w:hAnsi="Arial" w:cs="Arial"/>
          <w:i/>
          <w:sz w:val="24"/>
          <w:szCs w:val="24"/>
        </w:rPr>
        <w:t xml:space="preserve">adopt technologies and innovative work processes, </w:t>
      </w:r>
      <w:r w:rsidR="007C0A3A" w:rsidRPr="007C0A3A">
        <w:rPr>
          <w:rFonts w:ascii="Arial" w:hAnsi="Arial" w:cs="Arial"/>
          <w:i/>
          <w:sz w:val="24"/>
          <w:szCs w:val="24"/>
        </w:rPr>
        <w:t>while</w:t>
      </w:r>
      <w:r w:rsidRPr="007C0A3A">
        <w:rPr>
          <w:rFonts w:ascii="Arial" w:hAnsi="Arial" w:cs="Arial"/>
          <w:i/>
          <w:sz w:val="24"/>
          <w:szCs w:val="24"/>
        </w:rPr>
        <w:t xml:space="preserve"> also adap</w:t>
      </w:r>
      <w:r w:rsidR="007C0A3A" w:rsidRPr="007C0A3A">
        <w:rPr>
          <w:rFonts w:ascii="Arial" w:hAnsi="Arial" w:cs="Arial"/>
          <w:i/>
          <w:sz w:val="24"/>
          <w:szCs w:val="24"/>
        </w:rPr>
        <w:t xml:space="preserve">ting </w:t>
      </w:r>
      <w:r w:rsidRPr="007C0A3A">
        <w:rPr>
          <w:rFonts w:ascii="Arial" w:hAnsi="Arial" w:cs="Arial"/>
          <w:i/>
          <w:sz w:val="24"/>
          <w:szCs w:val="24"/>
        </w:rPr>
        <w:t>t</w:t>
      </w:r>
      <w:r w:rsidR="007C0A3A" w:rsidRPr="007C0A3A">
        <w:rPr>
          <w:rFonts w:ascii="Arial" w:hAnsi="Arial" w:cs="Arial"/>
          <w:i/>
          <w:sz w:val="24"/>
          <w:szCs w:val="24"/>
        </w:rPr>
        <w:t>o</w:t>
      </w:r>
      <w:r w:rsidRPr="007C0A3A">
        <w:rPr>
          <w:rFonts w:ascii="Arial" w:hAnsi="Arial" w:cs="Arial"/>
          <w:i/>
          <w:sz w:val="24"/>
          <w:szCs w:val="24"/>
        </w:rPr>
        <w:t xml:space="preserve"> continuou</w:t>
      </w:r>
      <w:r w:rsidRPr="007C0A3A">
        <w:rPr>
          <w:rFonts w:ascii="Arial" w:hAnsi="Arial" w:cs="Arial"/>
          <w:i/>
          <w:sz w:val="24"/>
          <w:szCs w:val="24"/>
        </w:rPr>
        <w:t xml:space="preserve">s quality improvement strategies. Unfortunately, the pandemic is only one of many extreme challenges impacting local communities. Racism, environmental threats, and prosperity inequities are issues </w:t>
      </w:r>
      <w:r w:rsidR="007C0A3A" w:rsidRPr="007C0A3A">
        <w:rPr>
          <w:rFonts w:ascii="Arial" w:hAnsi="Arial" w:cs="Arial"/>
          <w:i/>
          <w:sz w:val="24"/>
          <w:szCs w:val="24"/>
        </w:rPr>
        <w:t>that</w:t>
      </w:r>
      <w:r w:rsidRPr="007C0A3A">
        <w:rPr>
          <w:rFonts w:ascii="Arial" w:hAnsi="Arial" w:cs="Arial"/>
          <w:i/>
          <w:sz w:val="24"/>
          <w:szCs w:val="24"/>
        </w:rPr>
        <w:t xml:space="preserve"> will impact WIC participation and outcomes</w:t>
      </w:r>
      <w:r w:rsidR="007C0A3A" w:rsidRPr="007C0A3A">
        <w:rPr>
          <w:rFonts w:ascii="Arial" w:hAnsi="Arial" w:cs="Arial"/>
          <w:i/>
          <w:sz w:val="24"/>
          <w:szCs w:val="24"/>
        </w:rPr>
        <w:t>,</w:t>
      </w:r>
      <w:r w:rsidRPr="007C0A3A">
        <w:rPr>
          <w:rFonts w:ascii="Arial" w:hAnsi="Arial" w:cs="Arial"/>
          <w:i/>
          <w:sz w:val="24"/>
          <w:szCs w:val="24"/>
        </w:rPr>
        <w:t xml:space="preserve"> magnifyin</w:t>
      </w:r>
      <w:r w:rsidRPr="007C0A3A">
        <w:rPr>
          <w:rFonts w:ascii="Arial" w:hAnsi="Arial" w:cs="Arial"/>
          <w:i/>
          <w:sz w:val="24"/>
          <w:szCs w:val="24"/>
        </w:rPr>
        <w:t xml:space="preserve">g the importance of </w:t>
      </w:r>
      <w:r w:rsidRPr="007C0A3A">
        <w:rPr>
          <w:rFonts w:ascii="Arial" w:hAnsi="Arial" w:cs="Arial"/>
          <w:i/>
          <w:sz w:val="24"/>
          <w:szCs w:val="24"/>
        </w:rPr>
        <w:t xml:space="preserve">WIC and safety net programs as critical foundations to the success of families and communities. </w:t>
      </w:r>
    </w:p>
    <w:p w14:paraId="00000007" w14:textId="1038EE42" w:rsidR="00681F01" w:rsidRPr="007C0A3A" w:rsidRDefault="009A6F39">
      <w:pPr>
        <w:rPr>
          <w:rFonts w:ascii="Arial" w:hAnsi="Arial" w:cs="Arial"/>
          <w:i/>
          <w:sz w:val="24"/>
          <w:szCs w:val="24"/>
        </w:rPr>
      </w:pPr>
      <w:r w:rsidRPr="007C0A3A">
        <w:rPr>
          <w:rFonts w:ascii="Arial" w:hAnsi="Arial" w:cs="Arial"/>
          <w:i/>
          <w:sz w:val="24"/>
          <w:szCs w:val="24"/>
        </w:rPr>
        <w:t>During the Fall Conference attendees will dive into issues that drive program outcomes and community success when a holistic approach is t</w:t>
      </w:r>
      <w:r w:rsidRPr="007C0A3A">
        <w:rPr>
          <w:rFonts w:ascii="Arial" w:hAnsi="Arial" w:cs="Arial"/>
          <w:i/>
          <w:sz w:val="24"/>
          <w:szCs w:val="24"/>
        </w:rPr>
        <w:t xml:space="preserve">aken to program management. </w:t>
      </w:r>
    </w:p>
    <w:p w14:paraId="00000008" w14:textId="77777777" w:rsidR="00681F01" w:rsidRPr="00DE3781" w:rsidRDefault="009A6F39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ind w:left="3600"/>
        <w:rPr>
          <w:rFonts w:ascii="Arial" w:hAnsi="Arial" w:cs="Arial"/>
          <w:b/>
          <w:color w:val="000000"/>
          <w:sz w:val="32"/>
          <w:szCs w:val="32"/>
        </w:rPr>
      </w:pPr>
      <w:r w:rsidRPr="00DE3781">
        <w:rPr>
          <w:rFonts w:ascii="Arial" w:hAnsi="Arial" w:cs="Arial"/>
          <w:b/>
          <w:color w:val="000000"/>
          <w:sz w:val="32"/>
          <w:szCs w:val="32"/>
        </w:rPr>
        <w:t>Agenda</w:t>
      </w:r>
    </w:p>
    <w:p w14:paraId="00000009" w14:textId="77777777" w:rsidR="00681F01" w:rsidRPr="007C0A3A" w:rsidRDefault="00681F01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000000A" w14:textId="77777777" w:rsidR="00681F01" w:rsidRPr="007C0A3A" w:rsidRDefault="009A6F39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  <w:r w:rsidRPr="007C0A3A">
        <w:rPr>
          <w:rFonts w:ascii="Arial" w:hAnsi="Arial" w:cs="Arial"/>
          <w:color w:val="000000"/>
          <w:sz w:val="28"/>
          <w:szCs w:val="28"/>
          <w:u w:val="single"/>
        </w:rPr>
        <w:t xml:space="preserve">Tuesday, November 16, 2021 – CWA Fall Education Day </w:t>
      </w:r>
    </w:p>
    <w:p w14:paraId="0000000B" w14:textId="77777777" w:rsidR="00681F01" w:rsidRPr="007C0A3A" w:rsidRDefault="00681F01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00000C" w14:textId="77777777" w:rsidR="00681F01" w:rsidRPr="007C0A3A" w:rsidRDefault="009A6F39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0A3A">
        <w:rPr>
          <w:rFonts w:ascii="Arial" w:hAnsi="Arial" w:cs="Arial"/>
          <w:color w:val="000000"/>
          <w:sz w:val="24"/>
          <w:szCs w:val="24"/>
        </w:rPr>
        <w:t>8</w:t>
      </w:r>
      <w:r w:rsidRPr="007C0A3A">
        <w:rPr>
          <w:rFonts w:ascii="Arial" w:hAnsi="Arial" w:cs="Arial"/>
          <w:sz w:val="24"/>
          <w:szCs w:val="24"/>
        </w:rPr>
        <w:t>.</w:t>
      </w:r>
      <w:r w:rsidRPr="007C0A3A">
        <w:rPr>
          <w:rFonts w:ascii="Arial" w:hAnsi="Arial" w:cs="Arial"/>
          <w:color w:val="000000"/>
          <w:sz w:val="24"/>
          <w:szCs w:val="24"/>
        </w:rPr>
        <w:t xml:space="preserve">15               </w:t>
      </w:r>
      <w:r w:rsidRPr="007C0A3A">
        <w:rPr>
          <w:rFonts w:ascii="Arial" w:hAnsi="Arial" w:cs="Arial"/>
          <w:sz w:val="24"/>
          <w:szCs w:val="24"/>
        </w:rPr>
        <w:t>Doors Open</w:t>
      </w:r>
    </w:p>
    <w:p w14:paraId="0000000D" w14:textId="77777777" w:rsidR="00681F01" w:rsidRPr="007C0A3A" w:rsidRDefault="00681F01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51340B" w14:textId="77777777" w:rsidR="007C0A3A" w:rsidRDefault="009A6F39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0A3A">
        <w:rPr>
          <w:rFonts w:ascii="Arial" w:hAnsi="Arial" w:cs="Arial"/>
          <w:color w:val="000000"/>
          <w:sz w:val="24"/>
          <w:szCs w:val="24"/>
        </w:rPr>
        <w:t>8</w:t>
      </w:r>
      <w:r w:rsidRPr="007C0A3A">
        <w:rPr>
          <w:rFonts w:ascii="Arial" w:hAnsi="Arial" w:cs="Arial"/>
          <w:sz w:val="24"/>
          <w:szCs w:val="24"/>
        </w:rPr>
        <w:t>.</w:t>
      </w:r>
      <w:r w:rsidRPr="007C0A3A">
        <w:rPr>
          <w:rFonts w:ascii="Arial" w:hAnsi="Arial" w:cs="Arial"/>
          <w:color w:val="000000"/>
          <w:sz w:val="24"/>
          <w:szCs w:val="24"/>
        </w:rPr>
        <w:t xml:space="preserve">30-9.00      Welcome, Irene Salazar, CWA Board President, WIC Director, Planned </w:t>
      </w:r>
      <w:r w:rsidR="007C0A3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000000F" w14:textId="53A44129" w:rsidR="00681F01" w:rsidRPr="007C0A3A" w:rsidRDefault="007C0A3A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="009A6F39" w:rsidRPr="007C0A3A">
        <w:rPr>
          <w:rFonts w:ascii="Arial" w:hAnsi="Arial" w:cs="Arial"/>
          <w:color w:val="000000"/>
          <w:sz w:val="24"/>
          <w:szCs w:val="24"/>
        </w:rPr>
        <w:t>Parenthoo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 w:rsidR="009A6F39" w:rsidRPr="007C0A3A">
        <w:rPr>
          <w:rFonts w:ascii="Arial" w:hAnsi="Arial" w:cs="Arial"/>
          <w:color w:val="000000"/>
          <w:sz w:val="24"/>
          <w:szCs w:val="24"/>
        </w:rPr>
        <w:t>of Orange &amp; San Bernardino Counties</w:t>
      </w:r>
    </w:p>
    <w:p w14:paraId="3DAE4055" w14:textId="77777777" w:rsidR="007C0A3A" w:rsidRDefault="009A6F39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0A3A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7C0A3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0000010" w14:textId="719800F6" w:rsidR="00681F01" w:rsidRPr="007C0A3A" w:rsidRDefault="007C0A3A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="009A6F39" w:rsidRPr="007C0A3A">
        <w:rPr>
          <w:rFonts w:ascii="Arial" w:hAnsi="Arial" w:cs="Arial"/>
          <w:color w:val="000000"/>
          <w:sz w:val="24"/>
          <w:szCs w:val="24"/>
        </w:rPr>
        <w:t>Recognition of WIC Champions, CWA</w:t>
      </w:r>
    </w:p>
    <w:p w14:paraId="00000011" w14:textId="77777777" w:rsidR="00681F01" w:rsidRPr="007C0A3A" w:rsidRDefault="00681F01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000012" w14:textId="77777777" w:rsidR="00681F01" w:rsidRPr="007C0A3A" w:rsidRDefault="009A6F39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0A3A">
        <w:rPr>
          <w:rFonts w:ascii="Arial" w:hAnsi="Arial" w:cs="Arial"/>
          <w:color w:val="000000"/>
          <w:sz w:val="24"/>
          <w:szCs w:val="24"/>
        </w:rPr>
        <w:t>9.00-9.30      WIC Capitol Education Kick Off, S</w:t>
      </w:r>
      <w:r w:rsidRPr="007C0A3A">
        <w:rPr>
          <w:rFonts w:ascii="Arial" w:hAnsi="Arial" w:cs="Arial"/>
          <w:color w:val="000000"/>
          <w:sz w:val="24"/>
          <w:szCs w:val="24"/>
        </w:rPr>
        <w:t xml:space="preserve">arah Diaz </w:t>
      </w:r>
    </w:p>
    <w:p w14:paraId="00000013" w14:textId="77777777" w:rsidR="00681F01" w:rsidRPr="007C0A3A" w:rsidRDefault="00681F01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000014" w14:textId="77777777" w:rsidR="00681F01" w:rsidRPr="007C0A3A" w:rsidRDefault="009A6F39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0A3A">
        <w:rPr>
          <w:rFonts w:ascii="Arial" w:hAnsi="Arial" w:cs="Arial"/>
          <w:color w:val="000000"/>
          <w:sz w:val="24"/>
          <w:szCs w:val="24"/>
        </w:rPr>
        <w:t>9.30-10:30</w:t>
      </w:r>
      <w:r w:rsidRPr="007C0A3A">
        <w:rPr>
          <w:rFonts w:ascii="Arial" w:hAnsi="Arial" w:cs="Arial"/>
          <w:sz w:val="24"/>
          <w:szCs w:val="24"/>
        </w:rPr>
        <w:t xml:space="preserve">    </w:t>
      </w:r>
      <w:r w:rsidRPr="007C0A3A">
        <w:rPr>
          <w:rFonts w:ascii="Arial" w:hAnsi="Arial" w:cs="Arial"/>
          <w:color w:val="000000"/>
          <w:sz w:val="24"/>
          <w:szCs w:val="24"/>
        </w:rPr>
        <w:t>Data Sharing: WIC &amp; Safety Net Services</w:t>
      </w:r>
    </w:p>
    <w:p w14:paraId="00000015" w14:textId="77777777" w:rsidR="00681F01" w:rsidRPr="007C0A3A" w:rsidRDefault="009A6F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0A3A">
        <w:rPr>
          <w:rFonts w:ascii="Arial" w:hAnsi="Arial" w:cs="Arial"/>
          <w:color w:val="000000"/>
          <w:sz w:val="24"/>
          <w:szCs w:val="24"/>
        </w:rPr>
        <w:t xml:space="preserve">Linnea </w:t>
      </w:r>
      <w:proofErr w:type="spellStart"/>
      <w:r w:rsidRPr="007C0A3A">
        <w:rPr>
          <w:rFonts w:ascii="Arial" w:hAnsi="Arial" w:cs="Arial"/>
          <w:color w:val="000000"/>
          <w:sz w:val="24"/>
          <w:szCs w:val="24"/>
        </w:rPr>
        <w:t>Sallack</w:t>
      </w:r>
      <w:proofErr w:type="spellEnd"/>
      <w:r w:rsidRPr="007C0A3A">
        <w:rPr>
          <w:rFonts w:ascii="Arial" w:hAnsi="Arial" w:cs="Arial"/>
          <w:color w:val="000000"/>
          <w:sz w:val="24"/>
          <w:szCs w:val="24"/>
        </w:rPr>
        <w:t xml:space="preserve"> &amp; Karen Farley, Moderators</w:t>
      </w:r>
    </w:p>
    <w:p w14:paraId="00000016" w14:textId="77777777" w:rsidR="00681F01" w:rsidRPr="007C0A3A" w:rsidRDefault="009A6F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0A3A">
        <w:rPr>
          <w:rFonts w:ascii="Arial" w:hAnsi="Arial" w:cs="Arial"/>
          <w:color w:val="000000"/>
          <w:sz w:val="24"/>
          <w:szCs w:val="24"/>
        </w:rPr>
        <w:t xml:space="preserve">California WIC Local Agency Panel </w:t>
      </w:r>
    </w:p>
    <w:p w14:paraId="00000017" w14:textId="77777777" w:rsidR="00681F01" w:rsidRPr="007C0A3A" w:rsidRDefault="00681F01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000018" w14:textId="77777777" w:rsidR="00681F01" w:rsidRPr="007C0A3A" w:rsidRDefault="009A6F39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0A3A">
        <w:rPr>
          <w:rFonts w:ascii="Arial" w:hAnsi="Arial" w:cs="Arial"/>
          <w:color w:val="000000"/>
          <w:sz w:val="24"/>
          <w:szCs w:val="24"/>
        </w:rPr>
        <w:t>10.30-10</w:t>
      </w:r>
      <w:r w:rsidRPr="007C0A3A">
        <w:rPr>
          <w:rFonts w:ascii="Arial" w:hAnsi="Arial" w:cs="Arial"/>
          <w:sz w:val="24"/>
          <w:szCs w:val="24"/>
        </w:rPr>
        <w:t>.45</w:t>
      </w:r>
      <w:r w:rsidRPr="007C0A3A">
        <w:rPr>
          <w:rFonts w:ascii="Arial" w:hAnsi="Arial" w:cs="Arial"/>
          <w:color w:val="000000"/>
          <w:sz w:val="24"/>
          <w:szCs w:val="24"/>
        </w:rPr>
        <w:t xml:space="preserve">   Break</w:t>
      </w:r>
    </w:p>
    <w:p w14:paraId="00000019" w14:textId="77777777" w:rsidR="00681F01" w:rsidRPr="007C0A3A" w:rsidRDefault="00681F01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512E3D3" w14:textId="77777777" w:rsidR="007C0A3A" w:rsidRDefault="009A6F39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0A3A">
        <w:rPr>
          <w:rFonts w:ascii="Arial" w:hAnsi="Arial" w:cs="Arial"/>
          <w:color w:val="000000"/>
          <w:sz w:val="24"/>
          <w:szCs w:val="24"/>
        </w:rPr>
        <w:t>10</w:t>
      </w:r>
      <w:r w:rsidRPr="007C0A3A">
        <w:rPr>
          <w:rFonts w:ascii="Arial" w:hAnsi="Arial" w:cs="Arial"/>
          <w:sz w:val="24"/>
          <w:szCs w:val="24"/>
        </w:rPr>
        <w:t>.45</w:t>
      </w:r>
      <w:r w:rsidRPr="007C0A3A">
        <w:rPr>
          <w:rFonts w:ascii="Arial" w:hAnsi="Arial" w:cs="Arial"/>
          <w:color w:val="000000"/>
          <w:sz w:val="24"/>
          <w:szCs w:val="24"/>
        </w:rPr>
        <w:t>-11</w:t>
      </w:r>
      <w:r w:rsidRPr="007C0A3A">
        <w:rPr>
          <w:rFonts w:ascii="Arial" w:hAnsi="Arial" w:cs="Arial"/>
          <w:sz w:val="24"/>
          <w:szCs w:val="24"/>
        </w:rPr>
        <w:t>.45</w:t>
      </w:r>
      <w:r w:rsidRPr="007C0A3A">
        <w:rPr>
          <w:rFonts w:ascii="Arial" w:hAnsi="Arial" w:cs="Arial"/>
          <w:color w:val="000000"/>
          <w:sz w:val="24"/>
          <w:szCs w:val="24"/>
        </w:rPr>
        <w:t xml:space="preserve">   Management Practices for Maintaining CQI with Remote &amp; Hybrid </w:t>
      </w:r>
    </w:p>
    <w:p w14:paraId="0000001B" w14:textId="7D661A9F" w:rsidR="00681F01" w:rsidRPr="007C0A3A" w:rsidRDefault="007C0A3A" w:rsidP="007C0A3A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="009A6F39" w:rsidRPr="007C0A3A">
        <w:rPr>
          <w:rFonts w:ascii="Arial" w:hAnsi="Arial" w:cs="Arial"/>
          <w:color w:val="000000"/>
          <w:sz w:val="24"/>
          <w:szCs w:val="24"/>
        </w:rPr>
        <w:t>Services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9A6F39" w:rsidRPr="007C0A3A">
        <w:rPr>
          <w:rFonts w:ascii="Arial" w:hAnsi="Arial" w:cs="Arial"/>
          <w:color w:val="000000"/>
          <w:sz w:val="24"/>
          <w:szCs w:val="24"/>
        </w:rPr>
        <w:t>California WIC Local Agency Panel</w:t>
      </w:r>
    </w:p>
    <w:p w14:paraId="0000001C" w14:textId="77777777" w:rsidR="00681F01" w:rsidRPr="007C0A3A" w:rsidRDefault="00681F01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000001D" w14:textId="77777777" w:rsidR="00681F01" w:rsidRPr="007C0A3A" w:rsidRDefault="009A6F39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0A3A">
        <w:rPr>
          <w:rFonts w:ascii="Arial" w:hAnsi="Arial" w:cs="Arial"/>
          <w:sz w:val="24"/>
          <w:szCs w:val="24"/>
        </w:rPr>
        <w:t xml:space="preserve">11.45-12.45   Nourishment break </w:t>
      </w:r>
    </w:p>
    <w:p w14:paraId="0000001E" w14:textId="77777777" w:rsidR="00681F01" w:rsidRPr="007C0A3A" w:rsidRDefault="00681F01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000001F" w14:textId="6611EF26" w:rsidR="00681F01" w:rsidRPr="007C0A3A" w:rsidRDefault="009A6F39" w:rsidP="007C0A3A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rPr>
          <w:rFonts w:ascii="Arial" w:hAnsi="Arial" w:cs="Arial"/>
          <w:color w:val="000000"/>
        </w:rPr>
      </w:pPr>
      <w:r w:rsidRPr="007C0A3A">
        <w:rPr>
          <w:rFonts w:ascii="Arial" w:hAnsi="Arial" w:cs="Arial"/>
        </w:rPr>
        <w:t xml:space="preserve">   </w:t>
      </w:r>
      <w:r w:rsidR="007C0A3A">
        <w:rPr>
          <w:rFonts w:ascii="Arial" w:hAnsi="Arial" w:cs="Arial"/>
        </w:rPr>
        <w:t xml:space="preserve">  </w:t>
      </w:r>
      <w:r w:rsidRPr="007C0A3A">
        <w:rPr>
          <w:rFonts w:ascii="Arial" w:hAnsi="Arial" w:cs="Arial"/>
          <w:color w:val="000000"/>
        </w:rPr>
        <w:t>Recognition CWA Board &amp; WIC Worksite Wellness, Jodi Mulligan-</w:t>
      </w:r>
      <w:proofErr w:type="spellStart"/>
      <w:r w:rsidRPr="007C0A3A">
        <w:rPr>
          <w:rFonts w:ascii="Arial" w:hAnsi="Arial" w:cs="Arial"/>
          <w:color w:val="000000"/>
        </w:rPr>
        <w:t>Pfile</w:t>
      </w:r>
      <w:proofErr w:type="spellEnd"/>
    </w:p>
    <w:p w14:paraId="00000020" w14:textId="77777777" w:rsidR="00681F01" w:rsidRPr="007C0A3A" w:rsidRDefault="00681F01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2A7C6A" w14:textId="77777777" w:rsidR="007C0A3A" w:rsidRDefault="009A6F39" w:rsidP="007C0A3A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0A3A">
        <w:rPr>
          <w:rFonts w:ascii="Arial" w:hAnsi="Arial" w:cs="Arial"/>
          <w:color w:val="000000"/>
          <w:sz w:val="24"/>
          <w:szCs w:val="24"/>
        </w:rPr>
        <w:t xml:space="preserve">1.15-3.15       Equitable and </w:t>
      </w:r>
      <w:r w:rsidRPr="007C0A3A">
        <w:rPr>
          <w:rFonts w:ascii="Arial" w:hAnsi="Arial" w:cs="Arial"/>
          <w:color w:val="000000"/>
          <w:sz w:val="24"/>
          <w:szCs w:val="24"/>
        </w:rPr>
        <w:t>Joyous Leadership</w:t>
      </w:r>
      <w:r w:rsidR="007C0A3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C0A3A">
        <w:rPr>
          <w:rFonts w:ascii="Arial" w:hAnsi="Arial" w:cs="Arial"/>
          <w:color w:val="000000"/>
          <w:sz w:val="24"/>
          <w:szCs w:val="24"/>
        </w:rPr>
        <w:t xml:space="preserve">Dr. Melissa Franklin, CEO, Growth </w:t>
      </w:r>
      <w:r w:rsidR="007C0A3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0000022" w14:textId="144CE9F4" w:rsidR="00681F01" w:rsidRPr="007C0A3A" w:rsidRDefault="007C0A3A" w:rsidP="007C0A3A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="009A6F39" w:rsidRPr="007C0A3A">
        <w:rPr>
          <w:rFonts w:ascii="Arial" w:hAnsi="Arial" w:cs="Arial"/>
          <w:color w:val="000000"/>
          <w:sz w:val="24"/>
          <w:szCs w:val="24"/>
        </w:rPr>
        <w:t>Mindset Communications</w:t>
      </w:r>
    </w:p>
    <w:p w14:paraId="00000023" w14:textId="77777777" w:rsidR="00681F01" w:rsidRPr="007C0A3A" w:rsidRDefault="00681F01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ind w:left="1800"/>
        <w:rPr>
          <w:rFonts w:ascii="Arial" w:hAnsi="Arial" w:cs="Arial"/>
          <w:color w:val="000000"/>
          <w:sz w:val="24"/>
          <w:szCs w:val="24"/>
        </w:rPr>
      </w:pPr>
    </w:p>
    <w:p w14:paraId="00000024" w14:textId="7838AFB5" w:rsidR="00681F01" w:rsidRPr="007C0A3A" w:rsidRDefault="009A6F39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rPr>
          <w:rFonts w:ascii="Arial" w:hAnsi="Arial" w:cs="Arial"/>
          <w:color w:val="000000"/>
          <w:sz w:val="24"/>
          <w:szCs w:val="24"/>
        </w:rPr>
      </w:pPr>
      <w:r w:rsidRPr="007C0A3A">
        <w:rPr>
          <w:rFonts w:ascii="Arial" w:hAnsi="Arial" w:cs="Arial"/>
          <w:color w:val="000000"/>
          <w:sz w:val="24"/>
          <w:szCs w:val="24"/>
        </w:rPr>
        <w:t xml:space="preserve">3.15               </w:t>
      </w:r>
      <w:r w:rsidRPr="007C0A3A">
        <w:rPr>
          <w:rFonts w:ascii="Arial" w:hAnsi="Arial" w:cs="Arial"/>
          <w:color w:val="000000"/>
          <w:sz w:val="24"/>
          <w:szCs w:val="24"/>
        </w:rPr>
        <w:t>Closure</w:t>
      </w:r>
      <w:r w:rsidRPr="007C0A3A">
        <w:rPr>
          <w:rFonts w:ascii="Arial" w:hAnsi="Arial" w:cs="Arial"/>
          <w:color w:val="000000"/>
          <w:sz w:val="24"/>
          <w:szCs w:val="24"/>
        </w:rPr>
        <w:tab/>
      </w:r>
    </w:p>
    <w:p w14:paraId="00000025" w14:textId="77777777" w:rsidR="00681F01" w:rsidRPr="007C0A3A" w:rsidRDefault="009A6F39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7C0A3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0000026" w14:textId="77777777" w:rsidR="00681F01" w:rsidRPr="007C0A3A" w:rsidRDefault="009A6F39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  <w:r w:rsidRPr="007C0A3A">
        <w:rPr>
          <w:rFonts w:ascii="Arial" w:hAnsi="Arial" w:cs="Arial"/>
          <w:color w:val="000000"/>
          <w:sz w:val="28"/>
          <w:szCs w:val="28"/>
          <w:u w:val="single"/>
        </w:rPr>
        <w:t>Wednesday, November 17, 2021 - CDPH WIC Local Directors Meeting, Fall 2021</w:t>
      </w:r>
    </w:p>
    <w:p w14:paraId="00000027" w14:textId="77777777" w:rsidR="00681F01" w:rsidRPr="007C0A3A" w:rsidRDefault="00681F01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000028" w14:textId="77777777" w:rsidR="00681F01" w:rsidRPr="00DE3781" w:rsidRDefault="009A6F39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E3781">
        <w:rPr>
          <w:rFonts w:ascii="Arial" w:hAnsi="Arial" w:cs="Arial"/>
          <w:i/>
          <w:iCs/>
          <w:sz w:val="24"/>
          <w:szCs w:val="24"/>
        </w:rPr>
        <w:t>Information coming</w:t>
      </w:r>
    </w:p>
    <w:p w14:paraId="00000029" w14:textId="77777777" w:rsidR="00681F01" w:rsidRPr="007C0A3A" w:rsidRDefault="00681F01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</w:p>
    <w:p w14:paraId="0000002A" w14:textId="77777777" w:rsidR="00681F01" w:rsidRPr="007C0A3A" w:rsidRDefault="00681F01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</w:p>
    <w:p w14:paraId="0000002B" w14:textId="77777777" w:rsidR="00681F01" w:rsidRPr="007C0A3A" w:rsidRDefault="009A6F39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  <w:r w:rsidRPr="007C0A3A">
        <w:rPr>
          <w:rFonts w:ascii="Arial" w:hAnsi="Arial" w:cs="Arial"/>
          <w:color w:val="000000"/>
          <w:sz w:val="28"/>
          <w:szCs w:val="28"/>
          <w:u w:val="single"/>
        </w:rPr>
        <w:t>Thursday, November 18, 2021 - CDPH WIC Local Directors Meeting, Fall 2021</w:t>
      </w:r>
    </w:p>
    <w:p w14:paraId="0000002C" w14:textId="77777777" w:rsidR="00681F01" w:rsidRPr="007C0A3A" w:rsidRDefault="00681F01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00002D" w14:textId="77777777" w:rsidR="00681F01" w:rsidRPr="00DE3781" w:rsidRDefault="009A6F39">
      <w:pPr>
        <w:pStyle w:val="Heading2"/>
        <w:spacing w:before="0"/>
        <w:rPr>
          <w:rFonts w:ascii="Arial" w:eastAsia="Calibri" w:hAnsi="Arial" w:cs="Arial"/>
          <w:b w:val="0"/>
          <w:i/>
          <w:iCs/>
          <w:color w:val="000000"/>
          <w:sz w:val="24"/>
          <w:szCs w:val="24"/>
        </w:rPr>
      </w:pPr>
      <w:r w:rsidRPr="00DE3781">
        <w:rPr>
          <w:rFonts w:ascii="Arial" w:eastAsia="Calibri" w:hAnsi="Arial" w:cs="Arial"/>
          <w:b w:val="0"/>
          <w:i/>
          <w:iCs/>
          <w:color w:val="000000"/>
          <w:sz w:val="24"/>
          <w:szCs w:val="24"/>
        </w:rPr>
        <w:t>Information coming</w:t>
      </w:r>
    </w:p>
    <w:p w14:paraId="0000002E" w14:textId="77777777" w:rsidR="00681F01" w:rsidRPr="007C0A3A" w:rsidRDefault="00681F01">
      <w:pPr>
        <w:pStyle w:val="Heading2"/>
        <w:spacing w:before="0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0000002F" w14:textId="77777777" w:rsidR="00681F01" w:rsidRPr="007C0A3A" w:rsidRDefault="00681F01">
      <w:pPr>
        <w:pStyle w:val="Heading2"/>
        <w:spacing w:before="0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00000030" w14:textId="77777777" w:rsidR="00681F01" w:rsidRPr="007C0A3A" w:rsidRDefault="009A6F39">
      <w:pPr>
        <w:pStyle w:val="Heading2"/>
        <w:spacing w:before="0"/>
        <w:jc w:val="center"/>
        <w:rPr>
          <w:rFonts w:ascii="Arial" w:eastAsia="Calibri" w:hAnsi="Arial" w:cs="Arial"/>
          <w:i/>
          <w:sz w:val="24"/>
          <w:szCs w:val="24"/>
        </w:rPr>
      </w:pPr>
      <w:r w:rsidRPr="007C0A3A">
        <w:rPr>
          <w:rFonts w:ascii="Arial" w:eastAsia="Calibri" w:hAnsi="Arial" w:cs="Arial"/>
          <w:i/>
          <w:sz w:val="24"/>
          <w:szCs w:val="24"/>
        </w:rPr>
        <w:t>THANK YOU FOR YOUR PARTICIPATION!</w:t>
      </w:r>
    </w:p>
    <w:p w14:paraId="00000031" w14:textId="77777777" w:rsidR="00681F01" w:rsidRPr="007C0A3A" w:rsidRDefault="009A6F39">
      <w:pPr>
        <w:spacing w:after="0"/>
        <w:rPr>
          <w:rFonts w:ascii="Arial" w:hAnsi="Arial" w:cs="Arial"/>
          <w:sz w:val="20"/>
          <w:szCs w:val="20"/>
        </w:rPr>
      </w:pPr>
      <w:r w:rsidRPr="007C0A3A">
        <w:rPr>
          <w:rFonts w:ascii="Arial" w:hAnsi="Arial" w:cs="Arial"/>
          <w:sz w:val="20"/>
          <w:szCs w:val="20"/>
        </w:rPr>
        <w:t xml:space="preserve">Continuing education units will be offered for RDs (RD CPEUs), and IBCLCs (R-CERPs). </w:t>
      </w:r>
      <w:r w:rsidRPr="007C0A3A">
        <w:rPr>
          <w:rFonts w:ascii="Arial" w:hAnsi="Arial" w:cs="Arial"/>
          <w:sz w:val="20"/>
          <w:szCs w:val="20"/>
        </w:rPr>
        <w:br/>
        <w:t xml:space="preserve">This program is approved for CPEUs Level III by the Commission on Dietetic Registration, provider number CA004. Provider approved by the IBLCE, Long Term Provider Number </w:t>
      </w:r>
      <w:r w:rsidRPr="007C0A3A">
        <w:rPr>
          <w:rFonts w:ascii="Arial" w:hAnsi="Arial" w:cs="Arial"/>
          <w:sz w:val="20"/>
          <w:szCs w:val="20"/>
        </w:rPr>
        <w:t>CLT115-01.</w:t>
      </w:r>
    </w:p>
    <w:p w14:paraId="00000032" w14:textId="77777777" w:rsidR="00681F01" w:rsidRPr="007C0A3A" w:rsidRDefault="00681F01">
      <w:pPr>
        <w:spacing w:after="0"/>
        <w:rPr>
          <w:rFonts w:ascii="Arial" w:hAnsi="Arial" w:cs="Arial"/>
          <w:sz w:val="20"/>
          <w:szCs w:val="20"/>
        </w:rPr>
      </w:pPr>
    </w:p>
    <w:sectPr w:rsidR="00681F01" w:rsidRPr="007C0A3A" w:rsidSect="007C0A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720" w:left="1440" w:header="720" w:footer="720" w:gutter="0"/>
      <w:pgBorders w:offsetFrom="page">
        <w:left w:val="dashDotStroked" w:sz="24" w:space="24" w:color="632423" w:themeColor="accent2" w:themeShade="80"/>
        <w:right w:val="dashDotStroked" w:sz="24" w:space="24" w:color="632423" w:themeColor="accent2" w:themeShade="8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AB4C6" w14:textId="77777777" w:rsidR="009A6F39" w:rsidRDefault="009A6F39">
      <w:pPr>
        <w:spacing w:after="0" w:line="240" w:lineRule="auto"/>
      </w:pPr>
      <w:r>
        <w:separator/>
      </w:r>
    </w:p>
  </w:endnote>
  <w:endnote w:type="continuationSeparator" w:id="0">
    <w:p w14:paraId="2B7166EB" w14:textId="77777777" w:rsidR="009A6F39" w:rsidRDefault="009A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7" w14:textId="77777777" w:rsidR="00681F01" w:rsidRDefault="00681F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0C47E343" w:rsidR="00681F01" w:rsidRDefault="009A6F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California WIC Association</w:t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0A3A">
      <w:rPr>
        <w:noProof/>
        <w:color w:val="000000"/>
      </w:rPr>
      <w:t>1</w:t>
    </w:r>
    <w:r>
      <w:rPr>
        <w:color w:val="000000"/>
      </w:rPr>
      <w:fldChar w:fldCharType="end"/>
    </w:r>
  </w:p>
  <w:p w14:paraId="0000003A" w14:textId="77777777" w:rsidR="00681F01" w:rsidRDefault="00681F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8" w14:textId="77777777" w:rsidR="00681F01" w:rsidRDefault="00681F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51C25" w14:textId="77777777" w:rsidR="009A6F39" w:rsidRDefault="009A6F39">
      <w:pPr>
        <w:spacing w:after="0" w:line="240" w:lineRule="auto"/>
      </w:pPr>
      <w:r>
        <w:separator/>
      </w:r>
    </w:p>
  </w:footnote>
  <w:footnote w:type="continuationSeparator" w:id="0">
    <w:p w14:paraId="2E2F2FE3" w14:textId="77777777" w:rsidR="009A6F39" w:rsidRDefault="009A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5" w14:textId="77777777" w:rsidR="00681F01" w:rsidRDefault="00681F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3" w14:textId="77777777" w:rsidR="00681F01" w:rsidRDefault="009A6F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5943600" cy="20320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0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34" w14:textId="77777777" w:rsidR="00681F01" w:rsidRDefault="00681F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6" w14:textId="77777777" w:rsidR="00681F01" w:rsidRDefault="00681F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7832"/>
    <w:multiLevelType w:val="multilevel"/>
    <w:tmpl w:val="C7C67544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"/>
      <w:numFmt w:val="decimal"/>
      <w:lvlText w:val="%1.%2-%3"/>
      <w:lvlJc w:val="left"/>
      <w:pPr>
        <w:ind w:left="1140" w:hanging="114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A69071C"/>
    <w:multiLevelType w:val="multilevel"/>
    <w:tmpl w:val="F4D2BA0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86037F"/>
    <w:multiLevelType w:val="multilevel"/>
    <w:tmpl w:val="8CB21234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01"/>
    <w:rsid w:val="00681F01"/>
    <w:rsid w:val="007C0A3A"/>
    <w:rsid w:val="0081245F"/>
    <w:rsid w:val="009A6F39"/>
    <w:rsid w:val="00D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D16E6C"/>
  <w15:docId w15:val="{AA392257-0C88-BF4F-80D1-84A4D4B7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76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0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B1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F89"/>
  </w:style>
  <w:style w:type="paragraph" w:styleId="Footer">
    <w:name w:val="footer"/>
    <w:basedOn w:val="Normal"/>
    <w:link w:val="FooterChar"/>
    <w:uiPriority w:val="99"/>
    <w:unhideWhenUsed/>
    <w:rsid w:val="00B2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89"/>
  </w:style>
  <w:style w:type="paragraph" w:styleId="BodyText">
    <w:name w:val="Body Text"/>
    <w:basedOn w:val="Normal"/>
    <w:link w:val="BodyTextChar"/>
    <w:rsid w:val="00766E73"/>
    <w:pPr>
      <w:spacing w:after="0" w:line="240" w:lineRule="auto"/>
    </w:pPr>
    <w:rPr>
      <w:rFonts w:ascii="Times New Roman" w:eastAsia="Times New Roman" w:hAnsi="Times New Roman" w:cs="Times New Roman"/>
      <w:color w:val="A78F6B"/>
      <w:sz w:val="12"/>
      <w:szCs w:val="24"/>
    </w:rPr>
  </w:style>
  <w:style w:type="character" w:customStyle="1" w:styleId="BodyTextChar">
    <w:name w:val="Body Text Char"/>
    <w:basedOn w:val="DefaultParagraphFont"/>
    <w:link w:val="BodyText"/>
    <w:rsid w:val="00766E73"/>
    <w:rPr>
      <w:rFonts w:ascii="Times New Roman" w:eastAsia="Times New Roman" w:hAnsi="Times New Roman" w:cs="Times New Roman"/>
      <w:color w:val="A78F6B"/>
      <w:sz w:val="12"/>
      <w:szCs w:val="24"/>
    </w:rPr>
  </w:style>
  <w:style w:type="paragraph" w:styleId="ListParagraph">
    <w:name w:val="List Paragraph"/>
    <w:basedOn w:val="Normal"/>
    <w:uiPriority w:val="34"/>
    <w:qFormat/>
    <w:rsid w:val="00766E7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857DB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DB6"/>
    <w:rPr>
      <w:color w:val="808080"/>
      <w:shd w:val="clear" w:color="auto" w:fill="E6E6E6"/>
    </w:rPr>
  </w:style>
  <w:style w:type="paragraph" w:customStyle="1" w:styleId="Default">
    <w:name w:val="Default"/>
    <w:rsid w:val="009E6E6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4F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1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11A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/3ytWSHsv9yAjZF5Kksf0wBmBw==">AMUW2mXGJlDfjIBTVATkRG1zuaYpowYLb4ExMqLILscIZHOGXs1wabjfDhMdXClg3lsfE/Kp55aSHQE4pAu5r2s1tREOQLC1YhfZJZ62Y2wFjHc5PCpQaGVW7wE96Vy10X8MiQrvku0VBNvFHLCFTNjLBOuhbvDNzQ==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Aumann</dc:creator>
  <cp:lastModifiedBy>Jodi Mulligan-Pfile</cp:lastModifiedBy>
  <cp:revision>2</cp:revision>
  <dcterms:created xsi:type="dcterms:W3CDTF">2021-08-24T18:05:00Z</dcterms:created>
  <dcterms:modified xsi:type="dcterms:W3CDTF">2021-08-24T18:05:00Z</dcterms:modified>
</cp:coreProperties>
</file>